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30E" w:rsidRDefault="0084230E" w:rsidP="0084230E">
      <w:pPr>
        <w:rPr>
          <w:rStyle w:val="c1"/>
          <w:rFonts w:ascii="Arial" w:hAnsi="Arial" w:cs="Arial"/>
          <w:color w:val="000000"/>
          <w:sz w:val="20"/>
          <w:szCs w:val="20"/>
        </w:rPr>
      </w:pPr>
    </w:p>
    <w:tbl>
      <w:tblPr>
        <w:tblStyle w:val="TableGrid"/>
        <w:tblW w:w="10424" w:type="dxa"/>
        <w:tblLayout w:type="fixed"/>
        <w:tblLook w:val="04A0"/>
      </w:tblPr>
      <w:tblGrid>
        <w:gridCol w:w="1961"/>
        <w:gridCol w:w="2287"/>
        <w:gridCol w:w="2790"/>
        <w:gridCol w:w="3386"/>
      </w:tblGrid>
      <w:tr w:rsidR="0084230E" w:rsidTr="00B459BC">
        <w:tc>
          <w:tcPr>
            <w:tcW w:w="1961" w:type="dxa"/>
          </w:tcPr>
          <w:p w:rsidR="0084230E" w:rsidRPr="00B158B8" w:rsidRDefault="0084230E" w:rsidP="004C7F14">
            <w:pPr>
              <w:rPr>
                <w:sz w:val="24"/>
                <w:szCs w:val="24"/>
              </w:rPr>
            </w:pPr>
            <w:r w:rsidRPr="00B158B8">
              <w:rPr>
                <w:sz w:val="24"/>
                <w:szCs w:val="24"/>
              </w:rPr>
              <w:t>Date</w:t>
            </w:r>
          </w:p>
        </w:tc>
        <w:tc>
          <w:tcPr>
            <w:tcW w:w="2287" w:type="dxa"/>
          </w:tcPr>
          <w:p w:rsidR="0084230E" w:rsidRPr="00B158B8" w:rsidRDefault="0084230E" w:rsidP="004C7F14">
            <w:pPr>
              <w:rPr>
                <w:sz w:val="24"/>
                <w:szCs w:val="24"/>
              </w:rPr>
            </w:pPr>
            <w:r w:rsidRPr="00B158B8">
              <w:rPr>
                <w:sz w:val="24"/>
                <w:szCs w:val="24"/>
              </w:rPr>
              <w:t>Lot #</w:t>
            </w:r>
          </w:p>
        </w:tc>
        <w:tc>
          <w:tcPr>
            <w:tcW w:w="2790" w:type="dxa"/>
          </w:tcPr>
          <w:p w:rsidR="0084230E" w:rsidRPr="00B158B8" w:rsidRDefault="0084230E" w:rsidP="004C7F14">
            <w:pPr>
              <w:rPr>
                <w:sz w:val="24"/>
                <w:szCs w:val="24"/>
              </w:rPr>
            </w:pPr>
            <w:r w:rsidRPr="00B158B8">
              <w:rPr>
                <w:sz w:val="24"/>
                <w:szCs w:val="24"/>
              </w:rPr>
              <w:t>Quote</w:t>
            </w:r>
          </w:p>
        </w:tc>
        <w:tc>
          <w:tcPr>
            <w:tcW w:w="3386" w:type="dxa"/>
          </w:tcPr>
          <w:p w:rsidR="0084230E" w:rsidRDefault="0084230E" w:rsidP="004C7F14">
            <w:r>
              <w:t>Commentary</w:t>
            </w:r>
          </w:p>
        </w:tc>
      </w:tr>
      <w:tr w:rsidR="0084230E" w:rsidTr="00B459BC">
        <w:tc>
          <w:tcPr>
            <w:tcW w:w="1961" w:type="dxa"/>
          </w:tcPr>
          <w:p w:rsidR="0084230E" w:rsidRPr="00D408E2" w:rsidRDefault="0084230E" w:rsidP="004C7F14">
            <w:pPr>
              <w:rPr>
                <w:rFonts w:cstheme="minorHAnsi"/>
                <w:sz w:val="24"/>
                <w:szCs w:val="24"/>
              </w:rPr>
            </w:pPr>
            <w:r w:rsidRPr="00D408E2">
              <w:rPr>
                <w:rFonts w:cstheme="minorHAnsi"/>
                <w:sz w:val="24"/>
                <w:szCs w:val="24"/>
              </w:rPr>
              <w:t>4/3/12</w:t>
            </w:r>
          </w:p>
        </w:tc>
        <w:tc>
          <w:tcPr>
            <w:tcW w:w="2287" w:type="dxa"/>
          </w:tcPr>
          <w:p w:rsidR="0084230E" w:rsidRPr="00D408E2" w:rsidRDefault="0084230E" w:rsidP="0084230E">
            <w:pPr>
              <w:rPr>
                <w:rFonts w:cstheme="minorHAnsi"/>
                <w:sz w:val="24"/>
                <w:szCs w:val="24"/>
              </w:rPr>
            </w:pPr>
            <w:r w:rsidRPr="00D408E2">
              <w:rPr>
                <w:rStyle w:val="c1"/>
                <w:rFonts w:cstheme="minorHAnsi"/>
                <w:color w:val="000000"/>
                <w:sz w:val="24"/>
                <w:szCs w:val="24"/>
              </w:rPr>
              <w:t xml:space="preserve">#7 </w:t>
            </w:r>
            <w:r w:rsidRPr="00D408E2">
              <w:rPr>
                <w:rFonts w:cstheme="minorHAnsi"/>
                <w:color w:val="000000"/>
                <w:sz w:val="24"/>
                <w:szCs w:val="24"/>
              </w:rPr>
              <w:t>Engages with the characters by talking to them, giving advice, or telling how he/she might behave in the same circumstance; for nonfiction, engages the author by agreeing or disagreeing.</w:t>
            </w:r>
          </w:p>
        </w:tc>
        <w:tc>
          <w:tcPr>
            <w:tcW w:w="2790" w:type="dxa"/>
          </w:tcPr>
          <w:p w:rsidR="0084230E" w:rsidRDefault="0084230E" w:rsidP="004C7F14">
            <w:pPr>
              <w:rPr>
                <w:sz w:val="24"/>
                <w:szCs w:val="24"/>
              </w:rPr>
            </w:pPr>
            <w:r>
              <w:rPr>
                <w:sz w:val="24"/>
                <w:szCs w:val="24"/>
              </w:rPr>
              <w:t xml:space="preserve">Page 41: “He was silent and my heart started to beat violently. I could well imagine the scene. It was all too familiar. I might have been among those who were forced into the house with the petrol cans. I could feel how they must have pressed against each other; I could hear their frantic cries as they realized what was to be done to them.”  </w:t>
            </w:r>
          </w:p>
          <w:p w:rsidR="0084230E" w:rsidRDefault="0084230E" w:rsidP="004C7F14">
            <w:pPr>
              <w:rPr>
                <w:sz w:val="24"/>
                <w:szCs w:val="24"/>
              </w:rPr>
            </w:pPr>
          </w:p>
          <w:p w:rsidR="0084230E" w:rsidRPr="00B158B8" w:rsidRDefault="0084230E" w:rsidP="004C7F14">
            <w:pPr>
              <w:rPr>
                <w:sz w:val="24"/>
                <w:szCs w:val="24"/>
              </w:rPr>
            </w:pPr>
            <w:r>
              <w:rPr>
                <w:sz w:val="24"/>
                <w:szCs w:val="24"/>
              </w:rPr>
              <w:t>“So I stood up ready to leave but he pleaded with me: “Please stay. I must tell you the rest.”</w:t>
            </w:r>
          </w:p>
        </w:tc>
        <w:tc>
          <w:tcPr>
            <w:tcW w:w="3386" w:type="dxa"/>
          </w:tcPr>
          <w:p w:rsidR="0084230E" w:rsidRPr="00B158B8" w:rsidRDefault="00D408E2" w:rsidP="004C7F14">
            <w:pPr>
              <w:rPr>
                <w:sz w:val="24"/>
                <w:szCs w:val="24"/>
              </w:rPr>
            </w:pPr>
            <w:r>
              <w:rPr>
                <w:sz w:val="24"/>
                <w:szCs w:val="24"/>
              </w:rPr>
              <w:t xml:space="preserve">If I had been in the narrator’s situation I would have left the room. I could not have listened to an enemy describe in great detail the gruesome way in which he helped kill dozens of my people. The narrator relates this situation back to himself, saying that it easily could have been him in the house with the gas cans. Because of the connection he had with these people and the fact that it could have been him and very well still could, I am surprised at the strength he showed in staying. I would have been too afraid to listen to the awful details. The anxiety of thinking that this might happen in my future would cause too much additional anxiety in an already difficult time. </w:t>
            </w:r>
          </w:p>
        </w:tc>
      </w:tr>
      <w:tr w:rsidR="0084230E" w:rsidTr="00B459BC">
        <w:tc>
          <w:tcPr>
            <w:tcW w:w="1961" w:type="dxa"/>
          </w:tcPr>
          <w:p w:rsidR="0084230E" w:rsidRPr="00D408E2" w:rsidRDefault="00D408E2" w:rsidP="004C7F14">
            <w:pPr>
              <w:rPr>
                <w:rFonts w:cstheme="minorHAnsi"/>
                <w:sz w:val="24"/>
                <w:szCs w:val="24"/>
              </w:rPr>
            </w:pPr>
            <w:r w:rsidRPr="00D408E2">
              <w:rPr>
                <w:rFonts w:cstheme="minorHAnsi"/>
                <w:sz w:val="24"/>
                <w:szCs w:val="24"/>
              </w:rPr>
              <w:t>4/3/12</w:t>
            </w:r>
          </w:p>
          <w:p w:rsidR="0084230E" w:rsidRPr="00D408E2" w:rsidRDefault="0084230E" w:rsidP="004C7F14">
            <w:pPr>
              <w:rPr>
                <w:rFonts w:cstheme="minorHAnsi"/>
                <w:sz w:val="24"/>
                <w:szCs w:val="24"/>
              </w:rPr>
            </w:pPr>
          </w:p>
          <w:p w:rsidR="0084230E" w:rsidRPr="00D408E2" w:rsidRDefault="0084230E" w:rsidP="004C7F14">
            <w:pPr>
              <w:rPr>
                <w:rFonts w:cstheme="minorHAnsi"/>
                <w:sz w:val="24"/>
                <w:szCs w:val="24"/>
              </w:rPr>
            </w:pPr>
          </w:p>
          <w:p w:rsidR="0084230E" w:rsidRPr="00D408E2" w:rsidRDefault="0084230E" w:rsidP="004C7F14">
            <w:pPr>
              <w:rPr>
                <w:rFonts w:cstheme="minorHAnsi"/>
                <w:sz w:val="24"/>
                <w:szCs w:val="24"/>
              </w:rPr>
            </w:pPr>
          </w:p>
          <w:p w:rsidR="0084230E" w:rsidRPr="00D408E2" w:rsidRDefault="0084230E" w:rsidP="004C7F14">
            <w:pPr>
              <w:rPr>
                <w:rFonts w:cstheme="minorHAnsi"/>
                <w:sz w:val="24"/>
                <w:szCs w:val="24"/>
              </w:rPr>
            </w:pPr>
          </w:p>
          <w:p w:rsidR="0084230E" w:rsidRPr="00D408E2" w:rsidRDefault="0084230E" w:rsidP="004C7F14">
            <w:pPr>
              <w:rPr>
                <w:rFonts w:cstheme="minorHAnsi"/>
                <w:sz w:val="24"/>
                <w:szCs w:val="24"/>
              </w:rPr>
            </w:pPr>
          </w:p>
          <w:p w:rsidR="0084230E" w:rsidRPr="00D408E2" w:rsidRDefault="0084230E" w:rsidP="004C7F14">
            <w:pPr>
              <w:rPr>
                <w:rFonts w:cstheme="minorHAnsi"/>
                <w:sz w:val="24"/>
                <w:szCs w:val="24"/>
              </w:rPr>
            </w:pPr>
          </w:p>
          <w:p w:rsidR="0084230E" w:rsidRPr="00D408E2" w:rsidRDefault="0084230E" w:rsidP="004C7F14">
            <w:pPr>
              <w:rPr>
                <w:rFonts w:cstheme="minorHAnsi"/>
                <w:sz w:val="24"/>
                <w:szCs w:val="24"/>
              </w:rPr>
            </w:pPr>
          </w:p>
          <w:p w:rsidR="0084230E" w:rsidRPr="00D408E2" w:rsidRDefault="0084230E" w:rsidP="004C7F14">
            <w:pPr>
              <w:rPr>
                <w:rFonts w:cstheme="minorHAnsi"/>
                <w:sz w:val="24"/>
                <w:szCs w:val="24"/>
              </w:rPr>
            </w:pPr>
          </w:p>
          <w:p w:rsidR="0084230E" w:rsidRPr="00D408E2" w:rsidRDefault="0084230E" w:rsidP="004C7F14">
            <w:pPr>
              <w:rPr>
                <w:rFonts w:cstheme="minorHAnsi"/>
                <w:sz w:val="24"/>
                <w:szCs w:val="24"/>
              </w:rPr>
            </w:pPr>
          </w:p>
          <w:p w:rsidR="0084230E" w:rsidRPr="00D408E2" w:rsidRDefault="0084230E" w:rsidP="004C7F14">
            <w:pPr>
              <w:rPr>
                <w:rFonts w:cstheme="minorHAnsi"/>
                <w:sz w:val="24"/>
                <w:szCs w:val="24"/>
              </w:rPr>
            </w:pPr>
          </w:p>
          <w:p w:rsidR="0084230E" w:rsidRPr="00D408E2" w:rsidRDefault="0084230E" w:rsidP="004C7F14">
            <w:pPr>
              <w:rPr>
                <w:rFonts w:cstheme="minorHAnsi"/>
                <w:sz w:val="24"/>
                <w:szCs w:val="24"/>
              </w:rPr>
            </w:pPr>
          </w:p>
          <w:p w:rsidR="0084230E" w:rsidRPr="00D408E2" w:rsidRDefault="0084230E" w:rsidP="004C7F14">
            <w:pPr>
              <w:rPr>
                <w:rFonts w:cstheme="minorHAnsi"/>
                <w:sz w:val="24"/>
                <w:szCs w:val="24"/>
              </w:rPr>
            </w:pPr>
          </w:p>
          <w:p w:rsidR="0084230E" w:rsidRPr="00D408E2" w:rsidRDefault="0084230E" w:rsidP="004C7F14">
            <w:pPr>
              <w:rPr>
                <w:rFonts w:cstheme="minorHAnsi"/>
                <w:sz w:val="24"/>
                <w:szCs w:val="24"/>
              </w:rPr>
            </w:pPr>
          </w:p>
          <w:p w:rsidR="0084230E" w:rsidRPr="00D408E2" w:rsidRDefault="0084230E" w:rsidP="004C7F14">
            <w:pPr>
              <w:rPr>
                <w:rFonts w:cstheme="minorHAnsi"/>
                <w:sz w:val="24"/>
                <w:szCs w:val="24"/>
              </w:rPr>
            </w:pPr>
          </w:p>
        </w:tc>
        <w:tc>
          <w:tcPr>
            <w:tcW w:w="2287" w:type="dxa"/>
          </w:tcPr>
          <w:p w:rsidR="0084230E" w:rsidRPr="00D408E2" w:rsidRDefault="00D408E2" w:rsidP="004C7F14">
            <w:pPr>
              <w:rPr>
                <w:rFonts w:cstheme="minorHAnsi"/>
                <w:sz w:val="24"/>
                <w:szCs w:val="24"/>
              </w:rPr>
            </w:pPr>
            <w:r w:rsidRPr="00D408E2">
              <w:rPr>
                <w:rFonts w:cstheme="minorHAnsi"/>
                <w:color w:val="000000"/>
                <w:sz w:val="24"/>
                <w:szCs w:val="24"/>
              </w:rPr>
              <w:t>#2 Judges and assesses characters/situations/issues/claims against own personal standards, often sharing advice, criticism, empathy, or disparity.</w:t>
            </w:r>
          </w:p>
        </w:tc>
        <w:tc>
          <w:tcPr>
            <w:tcW w:w="2790" w:type="dxa"/>
          </w:tcPr>
          <w:p w:rsidR="0084230E" w:rsidRDefault="00D408E2" w:rsidP="004C7F14">
            <w:r>
              <w:t xml:space="preserve">Pg. 43 </w:t>
            </w:r>
            <w:r w:rsidR="00B459BC">
              <w:t>“’</w:t>
            </w:r>
            <w:r>
              <w:t>Then from the other windows fell burning bodies…We shot…Oh God!”</w:t>
            </w:r>
          </w:p>
          <w:p w:rsidR="0084230E" w:rsidRDefault="0084230E" w:rsidP="004C7F14"/>
          <w:p w:rsidR="0084230E" w:rsidRDefault="00D408E2" w:rsidP="004C7F14">
            <w:r>
              <w:t>The dying man held his hand in front of his bandaged eyes as if he wanted to banish the picture from his mind.</w:t>
            </w:r>
            <w:r w:rsidR="00B459BC">
              <w:t>”</w:t>
            </w:r>
          </w:p>
          <w:p w:rsidR="0084230E" w:rsidRDefault="0084230E" w:rsidP="004C7F14"/>
        </w:tc>
        <w:tc>
          <w:tcPr>
            <w:tcW w:w="3386" w:type="dxa"/>
          </w:tcPr>
          <w:p w:rsidR="0084230E" w:rsidRDefault="00B459BC" w:rsidP="00B459BC">
            <w:r>
              <w:t xml:space="preserve">By this point I think it is clear that the dying Nazi feels guilty for what he did. His body language as well as his crying out, “Oh God!” shows despair. Since he is on his death bed, he knows that there is nothing he can do to right this wrong. He is running out of time to do </w:t>
            </w:r>
            <w:proofErr w:type="gramStart"/>
            <w:r>
              <w:t>good</w:t>
            </w:r>
            <w:proofErr w:type="gramEnd"/>
            <w:r>
              <w:t xml:space="preserve"> in his life, which is why he is making one last attempt to rid this guilt. I feel sorry for him in a way because he is going to have to die with this horrible offence in his heart even though he clearly feels bad for doing it. Perhaps dying with this guilt is his payback?</w:t>
            </w:r>
          </w:p>
        </w:tc>
      </w:tr>
      <w:tr w:rsidR="0084230E" w:rsidTr="00B459BC">
        <w:tc>
          <w:tcPr>
            <w:tcW w:w="1961" w:type="dxa"/>
          </w:tcPr>
          <w:p w:rsidR="0084230E" w:rsidRDefault="0084230E" w:rsidP="004C7F14"/>
          <w:p w:rsidR="0084230E" w:rsidRDefault="0084230E" w:rsidP="004C7F14"/>
          <w:p w:rsidR="0084230E" w:rsidRDefault="0084230E" w:rsidP="004C7F14"/>
          <w:p w:rsidR="0084230E" w:rsidRDefault="0084230E" w:rsidP="004C7F14"/>
          <w:p w:rsidR="0084230E" w:rsidRDefault="0084230E" w:rsidP="004C7F14"/>
          <w:p w:rsidR="0084230E" w:rsidRDefault="0084230E" w:rsidP="004C7F14"/>
          <w:p w:rsidR="0084230E" w:rsidRDefault="0084230E" w:rsidP="004C7F14"/>
          <w:p w:rsidR="0084230E" w:rsidRDefault="0084230E" w:rsidP="004C7F14"/>
          <w:p w:rsidR="0084230E" w:rsidRDefault="0084230E" w:rsidP="004C7F14"/>
          <w:p w:rsidR="0084230E" w:rsidRDefault="0084230E" w:rsidP="004C7F14"/>
          <w:p w:rsidR="0084230E" w:rsidRDefault="0084230E" w:rsidP="004C7F14"/>
          <w:p w:rsidR="0084230E" w:rsidRDefault="0084230E" w:rsidP="004C7F14"/>
          <w:p w:rsidR="0084230E" w:rsidRDefault="0084230E" w:rsidP="004C7F14"/>
          <w:p w:rsidR="0084230E" w:rsidRDefault="0084230E" w:rsidP="004C7F14"/>
          <w:p w:rsidR="0084230E" w:rsidRDefault="0084230E" w:rsidP="004C7F14"/>
          <w:p w:rsidR="0084230E" w:rsidRDefault="0084230E" w:rsidP="004C7F14"/>
        </w:tc>
        <w:tc>
          <w:tcPr>
            <w:tcW w:w="2287" w:type="dxa"/>
          </w:tcPr>
          <w:p w:rsidR="0084230E" w:rsidRDefault="0084230E" w:rsidP="004C7F14"/>
        </w:tc>
        <w:tc>
          <w:tcPr>
            <w:tcW w:w="2790" w:type="dxa"/>
          </w:tcPr>
          <w:p w:rsidR="0084230E" w:rsidRDefault="0084230E" w:rsidP="004C7F14"/>
        </w:tc>
        <w:tc>
          <w:tcPr>
            <w:tcW w:w="3386" w:type="dxa"/>
          </w:tcPr>
          <w:p w:rsidR="0084230E" w:rsidRDefault="0084230E" w:rsidP="004C7F14"/>
        </w:tc>
      </w:tr>
    </w:tbl>
    <w:p w:rsidR="00E101FD" w:rsidRDefault="00E101FD"/>
    <w:sectPr w:rsidR="00E101FD" w:rsidSect="00E101F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4230E"/>
    <w:rsid w:val="0084230E"/>
    <w:rsid w:val="00B459BC"/>
    <w:rsid w:val="00D408E2"/>
    <w:rsid w:val="00E101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30E"/>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1">
    <w:name w:val="c1"/>
    <w:basedOn w:val="DefaultParagraphFont"/>
    <w:rsid w:val="0084230E"/>
    <w:rPr>
      <w:rFonts w:cs="Times New Roman"/>
    </w:rPr>
  </w:style>
  <w:style w:type="table" w:styleId="TableGrid">
    <w:name w:val="Table Grid"/>
    <w:basedOn w:val="TableNormal"/>
    <w:uiPriority w:val="59"/>
    <w:rsid w:val="0084230E"/>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341</Words>
  <Characters>1949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Batesville School District</Company>
  <LinksUpToDate>false</LinksUpToDate>
  <CharactersWithSpaces>2286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soneal</dc:creator>
  <cp:lastModifiedBy>soneal</cp:lastModifiedBy>
  <cp:revision>1</cp:revision>
  <dcterms:created xsi:type="dcterms:W3CDTF">2012-04-03T13:34:00Z</dcterms:created>
  <dcterms:modified xsi:type="dcterms:W3CDTF">2012-04-03T14:01:00Z</dcterms:modified>
</cp:coreProperties>
</file>